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Általános Szerződési Feltételek</w:t>
      </w:r>
    </w:p>
    <w:p>
      <w:r>
        <w:t>Dokumentum kelte: 2026. október 6.</w:t>
      </w:r>
    </w:p>
    <w:p>
      <w:pPr>
        <w:pStyle w:val="Heading1"/>
      </w:pPr>
      <w:r>
        <w:t>1. Szolgáltató és kapcsolattartás</w:t>
      </w:r>
    </w:p>
    <w:p>
      <w:r>
        <w:t>Szolgáltató: Sporient Hungary Kft. (a továbbiakban: Sporient vagy Szolgáltató).</w:t>
      </w:r>
    </w:p>
    <w:p>
      <w:r>
        <w:t>Székhely és levelezési cím: 6726 Szeged, Törökkanizsa u. 49. A szolgáltató postai kapcsolattartási és panaszkezelési címe a fent megadott cím. Cégjegyzékszám: 06-09-031406. Adószám: 33096724-2-06. Nyilvántartó bíróság: Szegedi Törvényszék Cégbírósága.</w:t>
      </w:r>
    </w:p>
    <w:p>
      <w:r>
        <w:t>Weboldal: https://sporient.hu/. E-mail: info@sporient.hu. Telefon: +36 30 787 0844. Panasz és szerződéssel kapcsolatos nyilatkozat ezekre az elérhetőségekre küldhető.</w:t>
      </w:r>
    </w:p>
    <w:p>
      <w:r>
        <w:t>Tárhelyszolgáltató a weboldal impresszuma szerint: Rackhost Zrt.; 6722 Szeged, Tisza Lajos körút 41.; cégjegyzékszám: 06-10-000489; adószám: 25333572-2-06; info@rackhost.hu; https://www.rackhost.hu/.</w:t>
      </w:r>
    </w:p>
    <w:p>
      <w:pPr>
        <w:pStyle w:val="Heading1"/>
      </w:pPr>
      <w:r>
        <w:t>2. Az ÁSZF hatálya és a szolgáltatások elkülönítése</w:t>
      </w:r>
    </w:p>
    <w:p>
      <w:r>
        <w:t>Jelen ÁSZF a sporient.hu tájékoztató weboldal használatára, az érdeklődési és előregisztrációs megkeresésekre, valamint – külön elfogadott ajánlat esetén – a Sporient által nyújtott sportágválasztási tanácsadásra vonatkozik. Hatálybalépés: a honlapon történő közzététel napja.</w:t>
      </w:r>
    </w:p>
    <w:p>
      <w:r>
        <w:t>A weboldalon szereplő tanácsadási folyamat célja a gyermek és a család sporttal kapcsolatos döntéseinek támogatása. Az egyes szakaszok pontos tartalmát, időtartamát, helyszínét, közreműködőjét és díját a szerződéskötést megelőző ajánlat tartalmazza. Az antropometriai vagy mozgásos felmérés csak kifejezetten megrendelt szolgáltatási elemként és a szükséges külön tájékoztatás után végezhető.</w:t>
      </w:r>
    </w:p>
    <w:p>
      <w:r>
        <w:t>Ez az ÁSZF nem szabályozza a későbbi SPRNT alkalmazásban létrehozott felhasználói fiókokat, sportolói vagy klubprofilokat, előfizetéseket, közösségi funkciókat, helyadatkezelést, QR-alapú funkciókat vagy az alkalmazáson belüli vásárlásokat. Ezekhez az indulás előtt külön feltételek és adatkezelési tájékoztató szükséges. A klubokkal, tanácsadókkal, nagykövetekkel és vállalati partnerekkel létrejövő üzleti együttműködés feltételeit külön szerződés határozza meg.</w:t>
      </w:r>
    </w:p>
    <w:p>
      <w:r>
        <w:t>Fogyasztó az a természetes személy, aki önálló foglalkozásán vagy gazdasági tevékenységén kívüli célból jár el. A fogyasztót megillető kötelező jogokat e dokumentum vagy egyedi megállapodás nem korlátozza. Az egyedileg megtárgyalt feltételek a jogszabályok keretei között megelőzik az ÁSZF eltérő rendelkezéseit.</w:t>
      </w:r>
    </w:p>
    <w:p>
      <w:pPr>
        <w:pStyle w:val="Heading1"/>
      </w:pPr>
      <w:r>
        <w:t>3. Ingyenes érdeklődés és előregisztráció</w:t>
      </w:r>
    </w:p>
    <w:p>
      <w:r>
        <w:t>A tájékoztató weboldal böngészése, az érdeklődési űrlap elküldése és az előregisztráció díjmentes. Ezek nem jelentenek fizetős megrendelést, időpontfoglalást, előfizetést, automatikus csatlakozást vagy későbbi szolgáltatás megvásárlására vállalt kötelezettséget.</w:t>
      </w:r>
    </w:p>
    <w:p>
      <w:r>
        <w:t>A tanácsadási jelentkezés után a Sporient telefonon vagy e-mailben egyezteti az igényeket és a lehetséges következő lépést. A tanácsadási landing oldalon vállalt kapcsolatfelvételi idő: 2 munkanapon belül. A kapcsolatfelvétel önmagában nem hoz létre fizetős szerződést.</w:t>
      </w:r>
    </w:p>
    <w:p>
      <w:r>
        <w:t>Az űrlap beküldését jelző automatikus vagy képernyőn megjelenő visszajelzés kizárólag a megkeresés fogadását jelenti. A látogató küldés előtt javíthatja a mezők tartalmát; küldés után az info@sporient.hu címen kérheti a hibás adatok helyesbítését.</w:t>
      </w:r>
    </w:p>
    <w:p>
      <w:r>
        <w:t>Az előregisztráció a kiválasztott kapcsolódási lehetőség iránti érdeklődés jelzése. Nem garantálja az alkalmazás indulási időpontját, valamely funkció rendelkezésre állását, klubtagságot vagy támogatást. A kért indulási értesítés és a reklámcélú levelezés nem azonos: reklámküldéshez szükség esetén külön hozzájárulást kérünk.</w:t>
      </w:r>
    </w:p>
    <w:p>
      <w:pPr>
        <w:pStyle w:val="Heading1"/>
      </w:pPr>
      <w:r>
        <w:t>4. Fizetős tanácsadás: ajánlat és szerződéskötés</w:t>
      </w:r>
    </w:p>
    <w:p>
      <w:r>
        <w:t>A fizetős szolgáltatás megrendelése előtt a Sporient tartós adathordozón, például e-mailben, egyértelmű ajánlatot és tájékoztatást ad. Az ajánlat tartalmazza a megrendelt szolgáltatás lényeges tulajdonságait, a szakaszok számát és tartalmát, a szolgáltatást ténylegesen nyújtó személyt vagy szervezetet, a teljesítési helyet, időpontot és várható időtartamot, a bruttó teljes díjat és esetleges további költségeket, a fizetési módot és határidőt, valamint a lemondás és fogyasztói joggyakorlás szabályait.</w:t>
      </w:r>
    </w:p>
    <w:p>
      <w:r>
        <w:t>A szerződés az ajánlat érvényességi idején belüli, annak lényeges feltételeire kiterjedő elfogadással jön létre. A puszta érdeklődési űrlap vagy egy általános visszahívás kérése nem minősül ilyen elfogadásnak. A Sporient az elfogadott feltételeket, az ÁSZF alkalmazott változatát és a szükséges fogyasztói tájékoztatást a teljesítés megkezdése előtt megküldi az ügyfélnek tartós adathordozón.</w:t>
      </w:r>
    </w:p>
    <w:p>
      <w:r>
        <w:t>A szerződéskötés nyelve magyar. Az egyeztetés telefonon vagy e-mailben történik. A fizetős szolgáltatás pontos feltételeit és az alkalmazandó ÁSZF-et az ügyfélnek tartós adathordozón meg kell kapnia. Az elfogadott ajánlat és visszaigazolás az ügyfélnél megőrizhető; másolat az info@sporient.hu címen kérhető. A honlap érdeklődési űrlapja önmagában nem köt fizetős szerződést, és nem hoz létre ügyfélfiókot. Egy telefonos egyeztetés után is visszaigazoljuk a végleges tartalmat és díjat; a kapcsolatfelvételre adott adatkezelési nyilatkozat nem szerződéses elfogadás.</w:t>
      </w:r>
    </w:p>
    <w:p>
      <w:r>
        <w:t>A tanácsadási folyamat szakaszai külön is igénybe vehetők. Az első szakasz megrendelése nem jelent automatikus megrendelést a második vagy harmadik szakaszra. A folytatáshoz új, egyértelmű döntés és a hozzá tartozó feltételek elfogadása szükséges.</w:t>
      </w:r>
    </w:p>
    <w:p>
      <w:r>
        <w:t>Ha a felmérést vagy más elemet nem a Sporient, hanem önálló szolgáltató nyújtja, még a döntés előtt közöljük, kivel jön létre szerződés, ki számláz és mely feltételek vonatkoznak az adott elemre. A Sporient saját kötelezettségeit egy külső közreműködő megnevezésével nem háríthatja el.</w:t>
      </w:r>
    </w:p>
    <w:p>
      <w:pPr>
        <w:pStyle w:val="Heading1"/>
      </w:pPr>
      <w:r>
        <w:t>5. Díjak és fizetés</w:t>
      </w:r>
    </w:p>
    <w:p>
      <w:r>
        <w:t>A díjak forintban meghatározott, fogyasztó által fizetendő teljes, adókkal növelt összegek. A fizetési módot, esedékességet, esetleges részleteket és a számlázási adatokat a megrendelés előtt közölt ajánlat tartalmazza. Nem számítunk fel előzetesen nem közölt, az ügyfél által nem elfogadott további díjat.</w:t>
      </w:r>
    </w:p>
    <w:p>
      <w:r>
        <w:t>A tanácsadási oldalon közölt díjak: az első szakasz 40 000 Ft, a második szakasz 60 000 Ft, a harmadik szakasz 40 000 Ft. Mindhárom szakasz együttes díja 140 000 Ft/család. Az egyedi ajánlat rögzíti a családban érintett gyermekek számát, az egyes szakaszok konkrét szolgáltatástartalmát, valamint az esetleges külön megrendelhető kiegészítéseket. A megrendelés előtt minden fizetendő összeget egyértelműen közölni kell.</w:t>
      </w:r>
    </w:p>
    <w:p>
      <w:r>
        <w:t>A díj változása már megkötött szerződés díját nem módosítja automatikusan. Nyilvánvaló árhibáról a Sporient az elfogadás előtt tájékoztatja az ügyfelet; ez nem szolgálhat utólagos, egyoldalú áremelés alapjául, és nem csorbítja a fogyasztó jogait.</w:t>
      </w:r>
    </w:p>
    <w:p>
      <w:r>
        <w:t>A fizetés vagy számlázás teljesítéséhez a szükséges adatokat külön kérjük be. A weboldal érdeklődési űrlapjára bankkártyaadatot nem kell és nem szabad beírni. Külső fizetési szolgáltatás későbbi bevezetése esetén annak feltételeit és adatkezelését külön, a fizetés előtt ismertetni kell.</w:t>
      </w:r>
    </w:p>
    <w:p>
      <w:pPr>
        <w:pStyle w:val="Heading1"/>
      </w:pPr>
      <w:r>
        <w:t>6. Kiskorúak, tanácsadás és felmérés</w:t>
      </w:r>
    </w:p>
    <w:p>
      <w:r>
        <w:t>Kiskorú gyermek számára szolgáltatást az arra jogosult szülő vagy más törvényes képviselő rendelhet meg a jogszabály szerinti képviseleti jogosultság figyelembevételével. A gyermek életkorának és érettségének megfelelő tájékoztatást kap; a részvétel során véleményét és biztonságát figyelembe kell venni. A weboldal érdeklődési felülete nem a gyermek önálló fizetős megrendelésére szolgál.</w:t>
      </w:r>
    </w:p>
    <w:p>
      <w:r>
        <w:t>A tanácsadás szakmai szempontokat és lehetséges irányokat ad; nem dönt a család helyett, nem garantál sporteredményt, ösztöndíjat, klubfelvételt vagy versenyzői alkalmasságot. A döntésnél az érdeklődést, családi lehetőségeket és a megfelelő szakember véleményét is mérlegelni kell.</w:t>
      </w:r>
    </w:p>
    <w:p>
      <w:r>
        <w:t>A sportágválasztási tanácsadás nem helyettesít orvosi vizsgálatot, sportorvosi engedélyt, diagnózist vagy gyógykezelést. A felmérés módszeréről, jellegéről és a közreműködő szakemberről a szolgáltatás megkezdése előtt külön tájékoztatást adunk.</w:t>
      </w:r>
    </w:p>
    <w:p>
      <w:r>
        <w:t>A felméréshez szükséges biztonsági feltételeket, ellenjavallatokat, előkészületeket és módszereket külön ismertetjük. Egészségi, fogyatékossági, testméret- vagy felmérési adatokat kizárólag előzetesen kialakított jogalappal, célhoz kötötten és megfelelő tájékoztatással lehet kezelni; a webes általános űrlap nem egészségügyi dokumentumok továbbítására szolgál.</w:t>
      </w:r>
    </w:p>
    <w:p>
      <w:pPr>
        <w:pStyle w:val="Heading1"/>
      </w:pPr>
      <w:r>
        <w:t>7. Időpont, módosítás és teljesítés</w:t>
      </w:r>
    </w:p>
    <w:p>
      <w:r>
        <w:t>A teljesítés időpontját és helyét külön egyeztetjük. Online konzultációnál a használt felületet és a szükséges technikai feltételeket előre közöljük. A felek a teljesítést akadályozó körülményről késedelem nélkül tájékoztatják egymást.</w:t>
      </w:r>
    </w:p>
    <w:p>
      <w:r>
        <w:t>Az ügyfél a megbeszélt időpont előtt az info@sporient.hu címen vagy a +36 30 787 0844 telefonszámon díjmentesen kérheti az időpont áthelyezését vagy lemondását. Az új időpont közös egyeztetéssel jön létre. Külön lemondási, áthelyezési vagy meg nem jelenési díjat nem számítunk fel. Ez nem érinti a már ténylegesen teljesített szolgáltatás jogszerűen járó díját, a fogyasztó törvényes elállási vagy felmondási jogát, illetve az ezek alapján járó visszatérítést. Kérjük, az akadályoztatást a lehető leghamarabb jelezze.</w:t>
      </w:r>
    </w:p>
    <w:p>
      <w:r>
        <w:t>Ha a Sporient miatt marad el a megrendelt szolgáltatás, új időpontot ajánl fel; ha az ügyfél azt nem fogadja el, a nem teljesített szolgáltatási részre megfizetett díjat visszatéríti. Ez nem érinti az ügyfél jogszabályból eredő egyéb igényeit.</w:t>
      </w:r>
    </w:p>
    <w:p>
      <w:pPr>
        <w:pStyle w:val="Heading1"/>
      </w:pPr>
      <w:r>
        <w:t>8. Fogyasztói elállás és felmondás</w:t>
      </w:r>
    </w:p>
    <w:p>
      <w:r>
        <w:t>Távollévők között, illetve üzlethelyiségen kívül kötött, e szabályozás alá tartozó szolgáltatási szerződés esetén a fogyasztó a szerződés megkötésétől számított 14 napon belül indokolás nélkül elállhat. Ha kérésére a teljesítés már megkezdődött, a még fennálló határidőn belül felmondhat. A jog személyes, üzlethelyiségben kötött szerződésnél nem jár automatikusan; kedvezőbb egyedi vállalás lehetséges.</w:t>
      </w:r>
    </w:p>
    <w:p>
      <w:r>
        <w:t>A fogyasztó egyértelmű nyilatkozatát az info@sporient.hu címre vagy a Szolgáltató levelezési címére küldheti. Használhatja az alábbi mintát, de annak használata nem kötelező. A határidő megtartásához elegendő a nyilatkozatot lejárta előtt elküldeni; célszerű az elküldés igazolását megőrizni.</w:t>
      </w:r>
    </w:p>
    <w:p>
      <w:r>
        <w:t>A fogyasztó jogszabályban biztosított elektronikus elállási lehetőségeit az e-mailben és postai úton gyakorolható nyilatkozattétel nem korlátozza. Az elektronikus elállási nyilatkozat érkezését indokolatlan késedelem nélkül, tartós adathordozón visszaigazoljuk, feltüntetve a nyilatkozat tartalmát és az elküldés napját, időpontját.</w:t>
      </w:r>
    </w:p>
    <w:p>
      <w:r>
        <w:t>A 14 napos határidő lejárta előtti teljesítést csak a fogyasztó külön, kifejezett kérésére kezdjük meg. A kérés nem lehet előre bejelölt, és nem rejthető az ÁSZF általános elfogadásába. Ha a fogyasztó ezt követően felmond, megfelelő előzetes tájékoztatás és érvényes kérés esetén kizárólag a megszűnésig ténylegesen teljesített szolgáltatással arányos díj fizetendő. A jogszabályi feltételek hiányában e költség nem hárítható rá.</w:t>
      </w:r>
    </w:p>
    <w:p>
      <w:r>
        <w:t>Fizetős szolgáltatás maradéktalan teljesítése után a jog csak akkor vész el, ha a teljesítés a fogyasztó kifejezett előzetes beleegyezésével kezdődött, és a fogyasztó előre tudomásul vette, hogy a teljes teljesítéssel elveszíti e jogát. Az időpontfoglalás vagy az első beszélgetés önmagában nem jelenti a teljes szolgáltatás teljesítését vagy automatikus jogvesztést.</w:t>
      </w:r>
    </w:p>
    <w:p>
      <w:r>
        <w:t>A visszajáró összeget indokolatlan késedelem nélkül, legkésőbb az elállásról vagy felmondásról való tudomásszerzéstől számított 14 napon belül térítjük vissza, a jogszerűen elszámolható arányos díj figyelembevételével. A visszatérítés az eredeti fizetési mód szerint történik, eltérő mód csak a fogyasztó kifejezett beleegyezésével, többletdíj nélkül alkalmazható.</w:t>
      </w:r>
    </w:p>
    <w:p>
      <w:r>
        <w:t>Az elállási tájékoztatás jogszabályszerű megadásának elmulasztása a határidő meghosszabbodását eredményezheti. A tanácsadás sporttal kapcsolatos jellege vagy meghatározott időpontja önmagában nem zárja ki a fogyasztó elállási vagy felmondási jogát.</w:t>
      </w:r>
    </w:p>
    <w:p>
      <w:pPr>
        <w:pStyle w:val="Heading1"/>
      </w:pPr>
      <w:r>
        <w:t>9. Elállási / felmondási nyilatkozatminta</w:t>
      </w:r>
    </w:p>
    <w:p>
      <w:r>
        <w:t>Címzett: Sporient Hungary Kft.; 6726 Szeged, Törökkanizsa u. 49.; info@sporient.hu.</w:t>
      </w:r>
    </w:p>
    <w:p>
      <w:r>
        <w:t>Alulírott kijelentem, hogy gyakorlom elállási / felmondási jogomat az alábbi szolgáltatás nyújtására irányuló szerződés tekintetében.</w:t>
      </w:r>
    </w:p>
    <w:p>
      <w:r>
        <w:t>Szolgáltatás megnevezése és a szerződés azonosítója: ____________________</w:t>
      </w:r>
    </w:p>
    <w:p>
      <w:r>
        <w:t>Szerződéskötés napja: ____________________</w:t>
      </w:r>
    </w:p>
    <w:p>
      <w:r>
        <w:t>Fogyasztó neve: ____________________</w:t>
      </w:r>
    </w:p>
    <w:p>
      <w:r>
        <w:t>Fogyasztó címe: ____________________</w:t>
      </w:r>
    </w:p>
    <w:p>
      <w:r>
        <w:t>E-mail-cím a visszaigazoláshoz: ____________________</w:t>
      </w:r>
    </w:p>
    <w:p>
      <w:r>
        <w:t>Kelt: ____________________    Aláírás: ____________________ (csak papíralapú nyilatkozatnál).</w:t>
      </w:r>
    </w:p>
    <w:p>
      <w:pPr>
        <w:pStyle w:val="Heading1"/>
      </w:pPr>
      <w:r>
        <w:t>10. Hibás teljesítés és felelősség</w:t>
      </w:r>
    </w:p>
    <w:p>
      <w:r>
        <w:t>A Sporient köteles az elfogadott szolgáltatást a szerződés és a vonatkozó jogszabályok szerint teljesíteni. Hibás teljesítésnél az ügyfél a Polgári Törvénykönyv szerinti kellékszavatossági és más igényeit érvényesítheti: a feltételek szerint kijavítást vagy megfelelő újbóli teljesítést, arányos díjcsökkentést, illetve a jogszabály által megengedett esetben a szerződés megszüntetését kérheti. Jelentéktelen hiba miatt elállásnak nincs helye.</w:t>
      </w:r>
    </w:p>
    <w:p>
      <w:r>
        <w:t>Az ügyfél a hibát annak felfedezése után késedelem nélkül közli. Fogyasztói szerződésnél a felfedezéstől számított két hónapon belüli közlést időben megtettnek kell tekinteni; a kellékszavatossági igény főszabály szerint a teljesítéstől számított két év alatt évül el. Egyéb igények és eltérő kötelező szabályok alkalmazását e tájékoztatás nem zárja ki.</w:t>
      </w:r>
    </w:p>
    <w:p>
      <w:r>
        <w:t>A tanácsadás eredménygaranciájának hiánya nem mentesít a vállalt szakmai munka megfelelő elvégzése alól. A Sporient nem zárja ki felelősségét szándékos szerződésszegésért, illetve az életben, testi épségben vagy egészségben okozott kárért, és nem alkalmaz általános, minden felelősséget kizáró kikötést.</w:t>
      </w:r>
    </w:p>
    <w:p>
      <w:pPr>
        <w:pStyle w:val="Heading1"/>
      </w:pPr>
      <w:r>
        <w:t>11. Panasz és vitarendezés</w:t>
      </w:r>
    </w:p>
    <w:p>
      <w:r>
        <w:t>Panasz szóban a megadott telefonszámon, írásban az info@sporient.hu címen vagy a levelezési címen tehető. A szóbeli panaszt azonnal megvizsgáljuk, szükség szerint orvosoljuk. Ha a fogyasztó nem ért egyet az intézkedéssel, vagy az azonnali kivizsgálás nem lehetséges, a jogszabály szerinti jegyzőkönyvet készítjük és másolatát átadjuk vagy megküldjük; telefonos panaszhoz egyedi azonosítót rendelünk.</w:t>
      </w:r>
    </w:p>
    <w:p>
      <w:r>
        <w:t>Az írásbeli panaszra a beérkezéstől számított 30 napon belül érdemi, indokolt választ adunk igazolható módon. Külön elektronikus panaszűrlap működtetése esetén annak beérkezését a fogyasztó e-mail-címére haladéktalanul visszaigazoljuk. A panasz és az érdemi válasz dokumentumait 3 évig őrizzük.</w:t>
      </w:r>
    </w:p>
    <w:p>
      <w:r>
        <w:t>Elutasítás esetén a panasz jellegéhez és a fogyasztó lakóhelyéhez igazodó hatóság vagy békéltető testület aktuális elérhetőségeit, valamint a békéltető testület döntésének elfogadására vonatkozó nyilatkozatunkat a válaszban közöljük. A fogyasztó jogszabályban biztosított jogait szakmai magatartási szabály nem korlátozhatja.</w:t>
      </w:r>
    </w:p>
    <w:p>
      <w:r>
        <w:t>A fogyasztó békéltető testületi eljárást kezdeményezhet, rendszerint a lakóhelye vagy tartózkodási helye szerinti illetékességgel. A Sporient az eljárásban a jogszabály szerinti együttműködési kötelezettségét teljesíti. Az eljárást megelőzően a fogyasztónak meg kell kísérelnie a vállalkozással közvetlenül rendezni a vitát.</w:t>
      </w:r>
    </w:p>
    <w:p>
      <w:r>
        <w:t>A Sporient székhelye szerinti regionális testület: Csongrád-Csanád Vármegyei Békéltető Testület, 6721 Szeged, Párizsi körút 8–12.; telefon: +36 62 549 392; e-mail: bekelteto.testulet@cskik.hu; https://www.bekeltetes-csongrad.hu/. A további testületek elérhetőségei: https://mkik.hu/a-bekelteto-testuletek-teruleti-honlapjai. Ez a megjelölés nem teszi kizárólagosan illetékessé a szegedi testületet.</w:t>
      </w:r>
    </w:p>
    <w:p>
      <w:r>
        <w:t>A fogyasztó a fogyasztóvédelmi hatósághoz fordulhat a fogyasztóvédelmi szabályok megsértése miatt, polgári jogi követelését pedig bíróság előtt érvényesítheti. A békéltetés nem zárja ki a bírósági utat. Adatvédelmi panasz esetén az adatkezelési tájékoztató szerinti jogorvoslat áll rendelkezésre.</w:t>
      </w:r>
    </w:p>
    <w:p>
      <w:pPr>
        <w:pStyle w:val="Heading1"/>
      </w:pPr>
      <w:r>
        <w:t>12. Tartalmak, adatvédelem és módosítás</w:t>
      </w:r>
    </w:p>
    <w:p>
      <w:r>
        <w:t>A weboldal szövegei, képei, videói, logói és egyéb védett tartalmai a jogosultak engedélye nélkül nem használhatók fel jogsértő módon. A jogszabály által engedett felhasználásokat e rendelkezés nem tiltja. Külső oldalak és közösségi szolgáltatások saját feltételekkel működnek.</w:t>
      </w:r>
    </w:p>
    <w:p>
      <w:r>
        <w:t>A személyes adatok kezeléséről az Adatkezelési tájékoztató ad külön, célonkénti információt. Az ÁSZF elfogadása vagy a weboldal meglátogatása önmagában nem adatkezelési, reklámküldési vagy nem szükséges sütikre adott hozzájárulás.</w:t>
      </w:r>
    </w:p>
    <w:p>
      <w:r>
        <w:t>Az ÁSZF frissítése a később kötött szerződésekre alkalmazható; már létrejött szerződés nem módosítható korlátlanul, egyoldalúan. A weboldalon feltüntetjük az aktuális változat és hatálybalépés dátumát. A szerződésre az elfogadásakor érvényes, az ügyfél rendelkezésére bocsátott változat vonatkozik.</w:t>
      </w:r>
    </w:p>
    <w:p>
      <w:r>
        <w:t>A nem szabályozott kérdésekben a magyar jog, különösen a Polgári Törvénykönyv, az elektronikus kereskedelmi és fogyasztóvédelmi szabályok irányadók. Külföldi fogyasztó esetén ez nem foszthatja meg az ügyfelet a rá alkalmazandó kötelező fogyasztóvédelmi szabályok védelmétől.</w:t>
      </w:r>
    </w:p>
    <w:sectPr w:rsidR="00FC693F" w:rsidRPr="0006063C" w:rsidSect="00034616">
      <w:headerReference w:type="default" r:id="rId9"/>
      <w:footerReference w:type="default" r:id="rId10"/>
      <w:pgSz w:w="11909" w:h="16834"/>
      <w:pgMar w:top="1080"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Sporient Hungary Kft.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SPORIENT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4"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color w:val="000000"/>
    </w:rPr>
  </w:style>
  <w:style w:type="character" w:customStyle="1" w:styleId="HeaderChar">
    <w:name w:val="Header Char"/>
    <w:basedOn w:val="DefaultParagraphFont"/>
    <w:link w:val="Header"/>
    <w:uiPriority w:val="99"/>
    <w:rsid w:val="00E618BF"/>
    <w:rPr>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color w:val="000000"/>
    </w:rPr>
  </w:style>
  <w:style w:type="character" w:customStyle="1" w:styleId="FooterChar">
    <w:name w:val="Footer Char"/>
    <w:basedOn w:val="DefaultParagraphFont"/>
    <w:link w:val="Footer"/>
    <w:uiPriority w:val="99"/>
    <w:rsid w:val="00E618BF"/>
    <w:rPr>
      <w:color w:val="00000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rPr>
      <w:color w:val="000000"/>
    </w:rPr>
  </w:style>
  <w:style w:type="table" w:default="1" w:styleId="TableNormal">
    <w:name w:val="Normal Table"/>
    <w:uiPriority w:val="99"/>
    <w:semiHidden/>
    <w:unhideWhenUsed/>
    <w:rPr>
      <w:color w:val="000000"/>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00000"/>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00000"/>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00000"/>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00000"/>
      <w:spacing w:val="15"/>
      <w:sz w:val="24"/>
      <w:szCs w:val="24"/>
    </w:rPr>
  </w:style>
  <w:style w:type="paragraph" w:styleId="ListParagraph">
    <w:name w:val="List Paragraph"/>
    <w:basedOn w:val="Normal"/>
    <w:uiPriority w:val="34"/>
    <w:qFormat/>
    <w:rsid w:val="00FC693F"/>
    <w:pPr>
      <w:ind w:left="720"/>
      <w:contextualSpacing/>
    </w:pPr>
    <w:rPr>
      <w:color w:val="000000"/>
    </w:rPr>
  </w:style>
  <w:style w:type="paragraph" w:styleId="BodyText">
    <w:name w:val="Body Text"/>
    <w:basedOn w:val="Normal"/>
    <w:link w:val="BodyTextChar"/>
    <w:uiPriority w:val="99"/>
    <w:unhideWhenUsed/>
    <w:rsid w:val="00AA1D8D"/>
    <w:pPr>
      <w:spacing w:after="120"/>
    </w:pPr>
    <w:rPr>
      <w:color w:val="000000"/>
    </w:rPr>
  </w:style>
  <w:style w:type="character" w:customStyle="1" w:styleId="BodyTextChar">
    <w:name w:val="Body Text Char"/>
    <w:basedOn w:val="DefaultParagraphFont"/>
    <w:link w:val="BodyText"/>
    <w:uiPriority w:val="99"/>
    <w:rsid w:val="00AA1D8D"/>
    <w:rPr>
      <w:color w:val="000000"/>
    </w:rPr>
  </w:style>
  <w:style w:type="paragraph" w:styleId="BodyText2">
    <w:name w:val="Body Text 2"/>
    <w:basedOn w:val="Normal"/>
    <w:link w:val="BodyText2Char"/>
    <w:uiPriority w:val="99"/>
    <w:unhideWhenUsed/>
    <w:rsid w:val="00AA1D8D"/>
    <w:pPr>
      <w:spacing w:after="120" w:line="480" w:lineRule="auto"/>
    </w:pPr>
    <w:rPr>
      <w:color w:val="000000"/>
    </w:rPr>
  </w:style>
  <w:style w:type="character" w:customStyle="1" w:styleId="BodyText2Char">
    <w:name w:val="Body Text 2 Char"/>
    <w:basedOn w:val="DefaultParagraphFont"/>
    <w:link w:val="BodyText2"/>
    <w:uiPriority w:val="99"/>
    <w:rsid w:val="00AA1D8D"/>
    <w:rPr>
      <w:color w:val="000000"/>
    </w:rPr>
  </w:style>
  <w:style w:type="paragraph" w:styleId="BodyText3">
    <w:name w:val="Body Text 3"/>
    <w:basedOn w:val="Normal"/>
    <w:link w:val="BodyText3Char"/>
    <w:uiPriority w:val="99"/>
    <w:unhideWhenUsed/>
    <w:rsid w:val="00AA1D8D"/>
    <w:pPr>
      <w:spacing w:after="120"/>
    </w:pPr>
    <w:rPr>
      <w:color w:val="000000"/>
      <w:sz w:val="16"/>
      <w:szCs w:val="16"/>
    </w:rPr>
  </w:style>
  <w:style w:type="character" w:customStyle="1" w:styleId="BodyText3Char">
    <w:name w:val="Body Text 3 Char"/>
    <w:basedOn w:val="DefaultParagraphFont"/>
    <w:link w:val="BodyText3"/>
    <w:uiPriority w:val="99"/>
    <w:rsid w:val="00AA1D8D"/>
    <w:rPr>
      <w:color w:val="000000"/>
      <w:sz w:val="16"/>
      <w:szCs w:val="16"/>
    </w:rPr>
  </w:style>
  <w:style w:type="paragraph" w:styleId="List">
    <w:name w:val="List"/>
    <w:basedOn w:val="Normal"/>
    <w:uiPriority w:val="99"/>
    <w:unhideWhenUsed/>
    <w:rsid w:val="00AA1D8D"/>
    <w:pPr>
      <w:ind w:left="360" w:hanging="360"/>
      <w:contextualSpacing/>
    </w:pPr>
    <w:rPr>
      <w:color w:val="000000"/>
    </w:rPr>
  </w:style>
  <w:style w:type="paragraph" w:styleId="List2">
    <w:name w:val="List 2"/>
    <w:basedOn w:val="Normal"/>
    <w:uiPriority w:val="99"/>
    <w:unhideWhenUsed/>
    <w:rsid w:val="00326F90"/>
    <w:pPr>
      <w:ind w:left="720" w:hanging="360"/>
      <w:contextualSpacing/>
    </w:pPr>
    <w:rPr>
      <w:color w:val="000000"/>
    </w:rPr>
  </w:style>
  <w:style w:type="paragraph" w:styleId="List3">
    <w:name w:val="List 3"/>
    <w:basedOn w:val="Normal"/>
    <w:uiPriority w:val="99"/>
    <w:unhideWhenUsed/>
    <w:rsid w:val="00326F90"/>
    <w:pPr>
      <w:ind w:left="1080" w:hanging="360"/>
      <w:contextualSpacing/>
    </w:pPr>
    <w:rPr>
      <w:color w:val="000000"/>
    </w:rPr>
  </w:style>
  <w:style w:type="paragraph" w:styleId="ListBullet">
    <w:name w:val="List Bullet"/>
    <w:basedOn w:val="Normal"/>
    <w:uiPriority w:val="99"/>
    <w:unhideWhenUsed/>
    <w:rsid w:val="00326F90"/>
    <w:pPr>
      <w:numPr>
        <w:numId w:val="1"/>
      </w:numPr>
      <w:contextualSpacing/>
    </w:pPr>
    <w:rPr>
      <w:color w:val="000000"/>
    </w:rPr>
  </w:style>
  <w:style w:type="paragraph" w:styleId="ListBullet2">
    <w:name w:val="List Bullet 2"/>
    <w:basedOn w:val="Normal"/>
    <w:uiPriority w:val="99"/>
    <w:unhideWhenUsed/>
    <w:rsid w:val="00326F90"/>
    <w:pPr>
      <w:numPr>
        <w:numId w:val="2"/>
      </w:numPr>
      <w:contextualSpacing/>
    </w:pPr>
    <w:rPr>
      <w:color w:val="000000"/>
    </w:rPr>
  </w:style>
  <w:style w:type="paragraph" w:styleId="ListBullet3">
    <w:name w:val="List Bullet 3"/>
    <w:basedOn w:val="Normal"/>
    <w:uiPriority w:val="99"/>
    <w:unhideWhenUsed/>
    <w:rsid w:val="00326F90"/>
    <w:pPr>
      <w:numPr>
        <w:numId w:val="3"/>
      </w:numPr>
      <w:contextualSpacing/>
    </w:pPr>
    <w:rPr>
      <w:color w:val="000000"/>
    </w:rPr>
  </w:style>
  <w:style w:type="paragraph" w:styleId="ListNumber">
    <w:name w:val="List Number"/>
    <w:basedOn w:val="Normal"/>
    <w:uiPriority w:val="99"/>
    <w:unhideWhenUsed/>
    <w:rsid w:val="00326F90"/>
    <w:pPr>
      <w:numPr>
        <w:numId w:val="5"/>
      </w:numPr>
      <w:contextualSpacing/>
    </w:pPr>
    <w:rPr>
      <w:color w:val="000000"/>
    </w:rPr>
  </w:style>
  <w:style w:type="paragraph" w:styleId="ListNumber2">
    <w:name w:val="List Number 2"/>
    <w:basedOn w:val="Normal"/>
    <w:uiPriority w:val="99"/>
    <w:unhideWhenUsed/>
    <w:rsid w:val="0029639D"/>
    <w:pPr>
      <w:numPr>
        <w:numId w:val="6"/>
      </w:numPr>
      <w:contextualSpacing/>
    </w:pPr>
    <w:rPr>
      <w:color w:val="000000"/>
    </w:rPr>
  </w:style>
  <w:style w:type="paragraph" w:styleId="ListNumber3">
    <w:name w:val="List Number 3"/>
    <w:basedOn w:val="Normal"/>
    <w:uiPriority w:val="99"/>
    <w:unhideWhenUsed/>
    <w:rsid w:val="0029639D"/>
    <w:pPr>
      <w:numPr>
        <w:numId w:val="7"/>
      </w:numPr>
      <w:contextualSpacing/>
    </w:pPr>
    <w:rPr>
      <w:color w:val="000000"/>
    </w:rPr>
  </w:style>
  <w:style w:type="paragraph" w:styleId="ListContinue">
    <w:name w:val="List Continue"/>
    <w:basedOn w:val="Normal"/>
    <w:uiPriority w:val="99"/>
    <w:unhideWhenUsed/>
    <w:rsid w:val="0029639D"/>
    <w:pPr>
      <w:spacing w:after="120"/>
      <w:ind w:left="360"/>
      <w:contextualSpacing/>
    </w:pPr>
    <w:rPr>
      <w:color w:val="000000"/>
    </w:rPr>
  </w:style>
  <w:style w:type="paragraph" w:styleId="ListContinue2">
    <w:name w:val="List Continue 2"/>
    <w:basedOn w:val="Normal"/>
    <w:uiPriority w:val="99"/>
    <w:unhideWhenUsed/>
    <w:rsid w:val="0029639D"/>
    <w:pPr>
      <w:spacing w:after="120"/>
      <w:ind w:left="720"/>
      <w:contextualSpacing/>
    </w:pPr>
    <w:rPr>
      <w:color w:val="000000"/>
    </w:rPr>
  </w:style>
  <w:style w:type="paragraph" w:styleId="ListContinue3">
    <w:name w:val="List Continue 3"/>
    <w:basedOn w:val="Normal"/>
    <w:uiPriority w:val="99"/>
    <w:unhideWhenUsed/>
    <w:rsid w:val="0029639D"/>
    <w:pPr>
      <w:spacing w:after="120"/>
      <w:ind w:left="1080"/>
      <w:contextualSpacing/>
    </w:pPr>
    <w:rPr>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olor w:val="000000"/>
      <w:sz w:val="20"/>
      <w:szCs w:val="20"/>
    </w:rPr>
  </w:style>
  <w:style w:type="character" w:customStyle="1" w:styleId="MacroTextChar">
    <w:name w:val="Macro Text Char"/>
    <w:basedOn w:val="DefaultParagraphFont"/>
    <w:link w:val="MacroText"/>
    <w:uiPriority w:val="99"/>
    <w:rsid w:val="0029639D"/>
    <w:rPr>
      <w:rFonts w:ascii="Courier" w:hAnsi="Courier"/>
      <w:color w:val="000000"/>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00000"/>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00000"/>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000000"/>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000000"/>
      <w:sz w:val="20"/>
      <w:szCs w:val="20"/>
    </w:rPr>
  </w:style>
  <w:style w:type="paragraph" w:styleId="Caption">
    <w:name w:val="caption"/>
    <w:basedOn w:val="Normal"/>
    <w:next w:val="Normal"/>
    <w:uiPriority w:val="35"/>
    <w:semiHidden/>
    <w:unhideWhenUsed/>
    <w:qFormat/>
    <w:rsid w:val="00FC693F"/>
    <w:pPr>
      <w:spacing w:line="240" w:lineRule="auto"/>
    </w:pPr>
    <w:rPr>
      <w:b/>
      <w:bCs/>
      <w:color w:val="000000"/>
      <w:sz w:val="18"/>
      <w:szCs w:val="18"/>
    </w:rPr>
  </w:style>
  <w:style w:type="character" w:styleId="Strong">
    <w:name w:val="Strong"/>
    <w:basedOn w:val="DefaultParagraphFont"/>
    <w:uiPriority w:val="22"/>
    <w:qFormat/>
    <w:rsid w:val="00FC693F"/>
    <w:rPr>
      <w:b/>
      <w:bCs/>
      <w:color w:val="000000"/>
    </w:rPr>
  </w:style>
  <w:style w:type="character" w:styleId="Emphasis">
    <w:name w:val="Emphasis"/>
    <w:basedOn w:val="DefaultParagraphFont"/>
    <w:uiPriority w:val="20"/>
    <w:qFormat/>
    <w:rsid w:val="00FC693F"/>
    <w:rPr>
      <w:i/>
      <w:iCs/>
      <w:color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000000"/>
    </w:rPr>
  </w:style>
  <w:style w:type="character" w:customStyle="1" w:styleId="IntenseQuoteChar">
    <w:name w:val="Intense Quote Char"/>
    <w:basedOn w:val="DefaultParagraphFont"/>
    <w:link w:val="IntenseQuote"/>
    <w:uiPriority w:val="30"/>
    <w:rsid w:val="00FC693F"/>
    <w:rPr>
      <w:b/>
      <w:bCs/>
      <w:i/>
      <w:iCs/>
      <w:color w:val="000000"/>
    </w:rPr>
  </w:style>
  <w:style w:type="character" w:styleId="SubtleEmphasis">
    <w:name w:val="Subtle Emphasis"/>
    <w:basedOn w:val="DefaultParagraphFont"/>
    <w:uiPriority w:val="19"/>
    <w:qFormat/>
    <w:rsid w:val="00FC693F"/>
    <w:rPr>
      <w:i/>
      <w:iCs/>
      <w:color w:val="000000"/>
    </w:rPr>
  </w:style>
  <w:style w:type="character" w:styleId="IntenseEmphasis">
    <w:name w:val="Intense Emphasis"/>
    <w:basedOn w:val="DefaultParagraphFont"/>
    <w:uiPriority w:val="21"/>
    <w:qFormat/>
    <w:rsid w:val="00FC693F"/>
    <w:rPr>
      <w:b/>
      <w:bCs/>
      <w:i/>
      <w:iCs/>
      <w:color w:val="000000"/>
    </w:rPr>
  </w:style>
  <w:style w:type="character" w:styleId="SubtleReference">
    <w:name w:val="Subtle Reference"/>
    <w:basedOn w:val="DefaultParagraphFont"/>
    <w:uiPriority w:val="31"/>
    <w:qFormat/>
    <w:rsid w:val="00FC693F"/>
    <w:rPr>
      <w:smallCaps/>
      <w:color w:val="000000"/>
      <w:u w:val="single"/>
    </w:rPr>
  </w:style>
  <w:style w:type="character" w:styleId="IntenseReference">
    <w:name w:val="Intense Reference"/>
    <w:basedOn w:val="DefaultParagraphFont"/>
    <w:uiPriority w:val="32"/>
    <w:qFormat/>
    <w:rsid w:val="00FC693F"/>
    <w:rPr>
      <w:b/>
      <w:bCs/>
      <w:smallCaps/>
      <w:color w:val="000000"/>
      <w:spacing w:val="5"/>
      <w:u w:val="single"/>
    </w:rPr>
  </w:style>
  <w:style w:type="character" w:styleId="BookTitle">
    <w:name w:val="Book Title"/>
    <w:basedOn w:val="DefaultParagraphFont"/>
    <w:uiPriority w:val="33"/>
    <w:qFormat/>
    <w:rsid w:val="00FC693F"/>
    <w:rPr>
      <w:b/>
      <w:bCs/>
      <w:smallCaps/>
      <w:color w:val="000000"/>
      <w:spacing w:val="5"/>
    </w:rPr>
  </w:style>
  <w:style w:type="paragraph" w:styleId="TOCHeading">
    <w:name w:val="TOC Heading"/>
    <w:basedOn w:val="Heading1"/>
    <w:next w:val="Normal"/>
    <w:uiPriority w:val="39"/>
    <w:semiHidden/>
    <w:unhideWhenUsed/>
    <w:qFormat/>
    <w:rsid w:val="00FC693F"/>
    <w:pPr>
      <w:outlineLvl w:val="9"/>
    </w:pPr>
    <w:rPr>
      <w:color w:val="000000"/>
    </w:rPr>
  </w:style>
  <w:style w:type="table" w:styleId="TableGrid">
    <w:name w:val="Table Grid"/>
    <w:basedOn w:val="TableNormal"/>
    <w:uiPriority w:val="59"/>
    <w:rsid w:val="00FC693F"/>
    <w:pPr>
      <w:spacing w:after="0" w:line="240" w:lineRule="auto"/>
    </w:pPr>
    <w:rPr>
      <w:color w:val="00000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0000"/>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000000"/>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000000"/>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000000"/>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000000"/>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000000"/>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000000"/>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000000"/>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000000"/>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000000"/>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000000"/>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000000"/>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000000"/>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000000" w:themeFill="text1" w:themeFillShade="99"/>
      </w:tcPr>
    </w:tblStylePr>
    <w:tblStylePr w:type="firstCol">
      <w:rPr>
        <w:color w:val="000000"/>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0000"/>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2C4C74" w:themeFill="accent1" w:themeFillShade="99"/>
      </w:tcPr>
    </w:tblStylePr>
    <w:tblStylePr w:type="firstCol">
      <w:rPr>
        <w:color w:val="000000"/>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000000"/>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772C2A" w:themeFill="accent2" w:themeFillShade="99"/>
      </w:tcPr>
    </w:tblStylePr>
    <w:tblStylePr w:type="firstCol">
      <w:rPr>
        <w:color w:val="000000"/>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000000"/>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5E7530" w:themeFill="accent3" w:themeFillShade="99"/>
      </w:tcPr>
    </w:tblStylePr>
    <w:tblStylePr w:type="firstCol">
      <w:rPr>
        <w:color w:val="000000"/>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000000"/>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4C3B62" w:themeFill="accent4" w:themeFillShade="99"/>
      </w:tcPr>
    </w:tblStylePr>
    <w:tblStylePr w:type="firstCol">
      <w:rPr>
        <w:color w:val="000000"/>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000000"/>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276A7C" w:themeFill="accent5" w:themeFillShade="99"/>
      </w:tcPr>
    </w:tblStylePr>
    <w:tblStylePr w:type="firstCol">
      <w:rPr>
        <w:color w:val="000000"/>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000000"/>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B65608" w:themeFill="accent6" w:themeFillShade="99"/>
      </w:tcPr>
    </w:tblStylePr>
    <w:tblStylePr w:type="firstCol">
      <w:rPr>
        <w:color w:val="000000"/>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000000"/>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000000"/>
      </w:rPr>
      <w:tblPr/>
      <w:tcPr>
        <w:tcBorders>
          <w:bottom w:val="single" w:sz="12" w:space="0" w:color="FFFFFF" w:themeColor="background1"/>
        </w:tcBorders>
        <w:shd w:val="clear" w:color="auto" w:fill="664E82" w:themeFill="accent4"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000000"/>
      </w:rPr>
      <w:tblPr/>
      <w:tcPr>
        <w:tcBorders>
          <w:bottom w:val="single" w:sz="12" w:space="0" w:color="FFFFFF" w:themeColor="background1"/>
        </w:tcBorders>
        <w:shd w:val="clear" w:color="auto" w:fill="7E9C40" w:themeFill="accent3"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000000"/>
      </w:rPr>
      <w:tblPr/>
      <w:tcPr>
        <w:tcBorders>
          <w:bottom w:val="single" w:sz="12" w:space="0" w:color="FFFFFF" w:themeColor="background1"/>
        </w:tcBorders>
        <w:shd w:val="clear" w:color="auto" w:fill="F2730A" w:themeFill="accent6"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000000"/>
      </w:rPr>
      <w:tblPr/>
      <w:tcPr>
        <w:tcBorders>
          <w:bottom w:val="single" w:sz="12" w:space="0" w:color="FFFFFF" w:themeColor="background1"/>
        </w:tcBorders>
        <w:shd w:val="clear" w:color="auto" w:fill="348DA5" w:themeFill="accent5"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000000"/>
      </w:rPr>
      <w:tblPr/>
      <w:tcPr>
        <w:shd w:val="clear" w:color="auto" w:fill="000000" w:themeFill="text1" w:themeFillShade="BF"/>
      </w:tcPr>
    </w:tblStylePr>
    <w:tblStylePr w:type="lastCol">
      <w:rPr>
        <w:color w:val="000000"/>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000000"/>
      </w:rPr>
      <w:tblPr/>
      <w:tcPr>
        <w:shd w:val="clear" w:color="auto" w:fill="365F91" w:themeFill="accent1" w:themeFillShade="BF"/>
      </w:tcPr>
    </w:tblStylePr>
    <w:tblStylePr w:type="lastCol">
      <w:rPr>
        <w:color w:val="000000"/>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000000"/>
      </w:rPr>
      <w:tblPr/>
      <w:tcPr>
        <w:shd w:val="clear" w:color="auto" w:fill="943634" w:themeFill="accent2" w:themeFillShade="BF"/>
      </w:tcPr>
    </w:tblStylePr>
    <w:tblStylePr w:type="lastCol">
      <w:rPr>
        <w:color w:val="000000"/>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000000"/>
      </w:rPr>
      <w:tblPr/>
      <w:tcPr>
        <w:shd w:val="clear" w:color="auto" w:fill="76923C" w:themeFill="accent3" w:themeFillShade="BF"/>
      </w:tcPr>
    </w:tblStylePr>
    <w:tblStylePr w:type="lastCol">
      <w:rPr>
        <w:color w:val="000000"/>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000000"/>
      </w:rPr>
      <w:tblPr/>
      <w:tcPr>
        <w:shd w:val="clear" w:color="auto" w:fill="5F497A" w:themeFill="accent4" w:themeFillShade="BF"/>
      </w:tcPr>
    </w:tblStylePr>
    <w:tblStylePr w:type="lastCol">
      <w:rPr>
        <w:color w:val="000000"/>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000000"/>
      </w:rPr>
      <w:tblPr/>
      <w:tcPr>
        <w:shd w:val="clear" w:color="auto" w:fill="31849B" w:themeFill="accent5" w:themeFillShade="BF"/>
      </w:tcPr>
    </w:tblStylePr>
    <w:tblStylePr w:type="lastCol">
      <w:rPr>
        <w:color w:val="000000"/>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000000"/>
      </w:rPr>
      <w:tblPr/>
      <w:tcPr>
        <w:shd w:val="clear" w:color="auto" w:fill="E36C0A" w:themeFill="accent6" w:themeFillShade="BF"/>
      </w:tcPr>
    </w:tblStylePr>
    <w:tblStylePr w:type="lastCol">
      <w:rPr>
        <w:color w:val="000000"/>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00000"/>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00000"/>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00000"/>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00000"/>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00000"/>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00000"/>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000000"/>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000000"/>
      <w:sz w:val="20"/>
      <w:szCs w:val="20"/>
    </w:rPr>
  </w:style>
  <w:style w:type="paragraph" w:styleId="Caption">
    <w:name w:val="caption"/>
    <w:basedOn w:val="Normal"/>
    <w:next w:val="Normal"/>
    <w:uiPriority w:val="35"/>
    <w:semiHidden/>
    <w:unhideWhenUsed/>
    <w:qFormat/>
    <w:rsid w:val="00FC693F"/>
    <w:pPr>
      <w:spacing w:line="240" w:lineRule="auto"/>
    </w:pPr>
    <w:rPr>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000000"/>
    </w:rPr>
  </w:style>
  <w:style w:type="character" w:customStyle="1" w:styleId="IntenseQuoteChar">
    <w:name w:val="Intense Quote Char"/>
    <w:basedOn w:val="DefaultParagraphFont"/>
    <w:link w:val="IntenseQuote"/>
    <w:uiPriority w:val="30"/>
    <w:rsid w:val="00FC693F"/>
    <w:rPr>
      <w:b/>
      <w:bCs/>
      <w:i/>
      <w:iCs/>
      <w:color w:val="000000"/>
    </w:rPr>
  </w:style>
  <w:style w:type="character" w:styleId="SubtleEmphasis">
    <w:name w:val="Subtle Emphasis"/>
    <w:basedOn w:val="DefaultParagraphFont"/>
    <w:uiPriority w:val="19"/>
    <w:qFormat/>
    <w:rsid w:val="00FC693F"/>
    <w:rPr>
      <w:i/>
      <w:iCs/>
      <w:color w:val="000000"/>
    </w:rPr>
  </w:style>
  <w:style w:type="character" w:styleId="IntenseEmphasis">
    <w:name w:val="Intense Emphasis"/>
    <w:basedOn w:val="DefaultParagraphFont"/>
    <w:uiPriority w:val="21"/>
    <w:qFormat/>
    <w:rsid w:val="00FC693F"/>
    <w:rPr>
      <w:b/>
      <w:bCs/>
      <w:i/>
      <w:iCs/>
      <w:color w:val="000000"/>
    </w:rPr>
  </w:style>
  <w:style w:type="character" w:styleId="SubtleReference">
    <w:name w:val="Subtle Reference"/>
    <w:basedOn w:val="DefaultParagraphFont"/>
    <w:uiPriority w:val="31"/>
    <w:qFormat/>
    <w:rsid w:val="00FC693F"/>
    <w:rPr>
      <w:smallCaps/>
      <w:color w:val="000000"/>
      <w:u w:val="single"/>
    </w:rPr>
  </w:style>
  <w:style w:type="character" w:styleId="IntenseReference">
    <w:name w:val="Intense Reference"/>
    <w:basedOn w:val="DefaultParagraphFont"/>
    <w:uiPriority w:val="32"/>
    <w:qFormat/>
    <w:rsid w:val="00FC693F"/>
    <w:rPr>
      <w:b/>
      <w:bCs/>
      <w:smallCaps/>
      <w:color w:val="000000"/>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0000"/>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000000"/>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000000"/>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000000"/>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000000"/>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000000"/>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000000"/>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000000"/>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000000"/>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000000"/>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000000"/>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000000"/>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000000"/>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000000" w:themeFill="text1" w:themeFillShade="99"/>
      </w:tcPr>
    </w:tblStylePr>
    <w:tblStylePr w:type="firstCol">
      <w:rPr>
        <w:color w:val="000000"/>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0000"/>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2C4C74" w:themeFill="accent1" w:themeFillShade="99"/>
      </w:tcPr>
    </w:tblStylePr>
    <w:tblStylePr w:type="firstCol">
      <w:rPr>
        <w:color w:val="000000"/>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000000"/>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772C2A" w:themeFill="accent2" w:themeFillShade="99"/>
      </w:tcPr>
    </w:tblStylePr>
    <w:tblStylePr w:type="firstCol">
      <w:rPr>
        <w:color w:val="000000"/>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000000"/>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5E7530" w:themeFill="accent3" w:themeFillShade="99"/>
      </w:tcPr>
    </w:tblStylePr>
    <w:tblStylePr w:type="firstCol">
      <w:rPr>
        <w:color w:val="000000"/>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000000"/>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4C3B62" w:themeFill="accent4" w:themeFillShade="99"/>
      </w:tcPr>
    </w:tblStylePr>
    <w:tblStylePr w:type="firstCol">
      <w:rPr>
        <w:color w:val="000000"/>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000000"/>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276A7C" w:themeFill="accent5" w:themeFillShade="99"/>
      </w:tcPr>
    </w:tblStylePr>
    <w:tblStylePr w:type="firstCol">
      <w:rPr>
        <w:color w:val="000000"/>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000000"/>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B65608" w:themeFill="accent6" w:themeFillShade="99"/>
      </w:tcPr>
    </w:tblStylePr>
    <w:tblStylePr w:type="firstCol">
      <w:rPr>
        <w:color w:val="000000"/>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000000"/>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000000"/>
      </w:rPr>
      <w:tblPr/>
      <w:tcPr>
        <w:tcBorders>
          <w:bottom w:val="single" w:sz="12" w:space="0" w:color="FFFFFF" w:themeColor="background1"/>
        </w:tcBorders>
        <w:shd w:val="clear" w:color="auto" w:fill="664E82" w:themeFill="accent4"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000000"/>
      </w:rPr>
      <w:tblPr/>
      <w:tcPr>
        <w:tcBorders>
          <w:bottom w:val="single" w:sz="12" w:space="0" w:color="FFFFFF" w:themeColor="background1"/>
        </w:tcBorders>
        <w:shd w:val="clear" w:color="auto" w:fill="7E9C40" w:themeFill="accent3"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000000"/>
      </w:rPr>
      <w:tblPr/>
      <w:tcPr>
        <w:tcBorders>
          <w:bottom w:val="single" w:sz="12" w:space="0" w:color="FFFFFF" w:themeColor="background1"/>
        </w:tcBorders>
        <w:shd w:val="clear" w:color="auto" w:fill="F2730A" w:themeFill="accent6"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000000"/>
      </w:rPr>
      <w:tblPr/>
      <w:tcPr>
        <w:tcBorders>
          <w:bottom w:val="single" w:sz="12" w:space="0" w:color="FFFFFF" w:themeColor="background1"/>
        </w:tcBorders>
        <w:shd w:val="clear" w:color="auto" w:fill="348DA5" w:themeFill="accent5"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000000"/>
      </w:rPr>
      <w:tblPr/>
      <w:tcPr>
        <w:shd w:val="clear" w:color="auto" w:fill="000000" w:themeFill="text1" w:themeFillShade="BF"/>
      </w:tcPr>
    </w:tblStylePr>
    <w:tblStylePr w:type="lastCol">
      <w:rPr>
        <w:color w:val="000000"/>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000000"/>
      </w:rPr>
      <w:tblPr/>
      <w:tcPr>
        <w:shd w:val="clear" w:color="auto" w:fill="365F91" w:themeFill="accent1" w:themeFillShade="BF"/>
      </w:tcPr>
    </w:tblStylePr>
    <w:tblStylePr w:type="lastCol">
      <w:rPr>
        <w:color w:val="000000"/>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000000"/>
      </w:rPr>
      <w:tblPr/>
      <w:tcPr>
        <w:shd w:val="clear" w:color="auto" w:fill="943634" w:themeFill="accent2" w:themeFillShade="BF"/>
      </w:tcPr>
    </w:tblStylePr>
    <w:tblStylePr w:type="lastCol">
      <w:rPr>
        <w:color w:val="000000"/>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000000"/>
      </w:rPr>
      <w:tblPr/>
      <w:tcPr>
        <w:shd w:val="clear" w:color="auto" w:fill="76923C" w:themeFill="accent3" w:themeFillShade="BF"/>
      </w:tcPr>
    </w:tblStylePr>
    <w:tblStylePr w:type="lastCol">
      <w:rPr>
        <w:color w:val="000000"/>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000000"/>
      </w:rPr>
      <w:tblPr/>
      <w:tcPr>
        <w:shd w:val="clear" w:color="auto" w:fill="5F497A" w:themeFill="accent4" w:themeFillShade="BF"/>
      </w:tcPr>
    </w:tblStylePr>
    <w:tblStylePr w:type="lastCol">
      <w:rPr>
        <w:color w:val="000000"/>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000000"/>
      </w:rPr>
      <w:tblPr/>
      <w:tcPr>
        <w:shd w:val="clear" w:color="auto" w:fill="31849B" w:themeFill="accent5" w:themeFillShade="BF"/>
      </w:tcPr>
    </w:tblStylePr>
    <w:tblStylePr w:type="lastCol">
      <w:rPr>
        <w:color w:val="000000"/>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000000"/>
      </w:rPr>
      <w:tblPr/>
      <w:tcPr>
        <w:shd w:val="clear" w:color="auto" w:fill="E36C0A" w:themeFill="accent6" w:themeFillShade="BF"/>
      </w:tcPr>
    </w:tblStylePr>
    <w:tblStylePr w:type="lastCol">
      <w:rPr>
        <w:color w:val="000000"/>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Általános Szerződési Feltételek</dc:title>
  <dc:subject>Sporient weboldal – jogi dokumentum</dc:subject>
  <dc:creator>Sporient Hungary Kft.</dc:creator>
  <cp:keywords/>
  <dc:description>generated by python-docx</dc:description>
  <cp:lastModifiedBy/>
  <cp:revision>1</cp:revision>
  <dcterms:created xsi:type="dcterms:W3CDTF">2013-12-23T23:15:00Z</dcterms:created>
  <dcterms:modified xsi:type="dcterms:W3CDTF">2013-12-23T23:15:00Z</dcterms:modified>
  <cp:category/>
</cp:coreProperties>
</file>